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spacing w:after="0" w:line="240" w:lineRule="auto"/>
        <w:ind/>
        <w:jc w:val="center"/>
        <w:rPr>
          <w:rFonts w:ascii="Calibri" w:hAnsi="Calibri"/>
          <w:b w:val="1"/>
          <w:sz w:val="32"/>
        </w:rPr>
      </w:pPr>
      <w:r>
        <w:rPr>
          <w:rFonts w:ascii="Calibri" w:hAnsi="Calibri"/>
          <w:b w:val="1"/>
          <w:sz w:val="32"/>
        </w:rPr>
        <w:t>Уважаемые жители</w:t>
      </w:r>
      <w:r>
        <w:rPr>
          <w:rFonts w:ascii="Calibri" w:hAnsi="Calibri"/>
          <w:b w:val="1"/>
          <w:sz w:val="32"/>
        </w:rPr>
        <w:t>!</w:t>
      </w:r>
    </w:p>
    <w:p w14:paraId="02000000">
      <w:pPr>
        <w:pStyle w:val="Style_1"/>
        <w:ind/>
        <w:jc w:val="both"/>
        <w:rPr>
          <w:rFonts w:ascii="Calibri" w:hAnsi="Calibri"/>
          <w:sz w:val="32"/>
        </w:rPr>
      </w:pPr>
      <w:r>
        <w:rPr>
          <w:rFonts w:ascii="Calibri" w:hAnsi="Calibri"/>
          <w:sz w:val="32"/>
        </w:rPr>
        <w:t>Сообщаем, что с 01.05</w:t>
      </w:r>
      <w:r>
        <w:rPr>
          <w:rFonts w:ascii="Calibri" w:hAnsi="Calibri"/>
          <w:sz w:val="32"/>
        </w:rPr>
        <w:t>.2025г.</w:t>
      </w:r>
      <w:r>
        <w:rPr>
          <w:rFonts w:ascii="Calibri" w:hAnsi="Calibri"/>
          <w:sz w:val="32"/>
        </w:rPr>
        <w:t xml:space="preserve"> вывоз твердых коммунальных отходов в Вашем населенном </w:t>
      </w:r>
      <w:r>
        <w:rPr>
          <w:rFonts w:ascii="Calibri" w:hAnsi="Calibri"/>
          <w:sz w:val="32"/>
        </w:rPr>
        <w:t>пункте</w:t>
      </w:r>
      <w:r>
        <w:rPr>
          <w:rFonts w:ascii="Calibri" w:hAnsi="Calibri"/>
          <w:sz w:val="32"/>
        </w:rPr>
        <w:t xml:space="preserve"> производит ООО «</w:t>
      </w:r>
      <w:r>
        <w:rPr>
          <w:rFonts w:ascii="Calibri" w:hAnsi="Calibri"/>
          <w:sz w:val="32"/>
        </w:rPr>
        <w:t>ТКО-Сервис</w:t>
      </w:r>
      <w:r>
        <w:rPr>
          <w:rFonts w:ascii="Calibri" w:hAnsi="Calibri"/>
          <w:sz w:val="32"/>
        </w:rPr>
        <w:t>». В связи с этим, Вам стали</w:t>
      </w:r>
      <w:r>
        <w:rPr>
          <w:rFonts w:ascii="Calibri" w:hAnsi="Calibri"/>
          <w:sz w:val="32"/>
        </w:rPr>
        <w:t xml:space="preserve"> доступны следующие сервисы:</w:t>
      </w:r>
    </w:p>
    <w:p w14:paraId="03000000">
      <w:pPr>
        <w:pStyle w:val="Style_1"/>
        <w:ind/>
        <w:jc w:val="both"/>
        <w:rPr>
          <w:rFonts w:ascii="Calibri" w:hAnsi="Calibri"/>
          <w:sz w:val="32"/>
        </w:rPr>
      </w:pPr>
      <w:r>
        <w:rPr>
          <w:rFonts w:ascii="Calibri" w:hAnsi="Calibri"/>
          <w:b w:val="1"/>
          <w:sz w:val="32"/>
        </w:rPr>
        <w:t>Получить выписку из лицевого счета об от</w:t>
      </w:r>
      <w:r>
        <w:rPr>
          <w:rFonts w:ascii="Calibri" w:hAnsi="Calibri"/>
          <w:b w:val="1"/>
          <w:sz w:val="32"/>
        </w:rPr>
        <w:t>сутствии задолженности перед ООО</w:t>
      </w:r>
      <w:r>
        <w:rPr>
          <w:rFonts w:ascii="Calibri" w:hAnsi="Calibri"/>
          <w:b w:val="1"/>
          <w:sz w:val="32"/>
        </w:rPr>
        <w:t xml:space="preserve"> «</w:t>
      </w:r>
      <w:r>
        <w:rPr>
          <w:rFonts w:ascii="Calibri" w:hAnsi="Calibri"/>
          <w:b w:val="1"/>
          <w:sz w:val="32"/>
        </w:rPr>
        <w:t>ТКО-сервис</w:t>
      </w:r>
      <w:r>
        <w:rPr>
          <w:rFonts w:ascii="Calibri" w:hAnsi="Calibri"/>
          <w:b w:val="1"/>
          <w:sz w:val="32"/>
        </w:rPr>
        <w:t xml:space="preserve">» </w:t>
      </w:r>
      <w:r>
        <w:rPr>
          <w:rFonts w:ascii="Calibri" w:hAnsi="Calibri"/>
          <w:sz w:val="32"/>
        </w:rPr>
        <w:t>можно в любом отделении МФЦ Алтайского края;</w:t>
      </w:r>
    </w:p>
    <w:p w14:paraId="04000000">
      <w:pPr>
        <w:pStyle w:val="Style_1"/>
        <w:ind/>
        <w:jc w:val="both"/>
        <w:rPr>
          <w:rFonts w:ascii="Calibri" w:hAnsi="Calibri"/>
          <w:sz w:val="32"/>
        </w:rPr>
      </w:pPr>
      <w:r>
        <w:rPr>
          <w:rFonts w:ascii="Calibri" w:hAnsi="Calibri"/>
          <w:b w:val="1"/>
          <w:sz w:val="32"/>
        </w:rPr>
        <w:t xml:space="preserve">Переоформить (открыть/закрыть) лицевой счет при смене собственника </w:t>
      </w:r>
      <w:r>
        <w:rPr>
          <w:rFonts w:ascii="Calibri" w:hAnsi="Calibri"/>
          <w:sz w:val="32"/>
        </w:rPr>
        <w:t>можно в любом отделении МФЦ Алтайского края;</w:t>
      </w:r>
    </w:p>
    <w:p w14:paraId="05000000">
      <w:pPr>
        <w:pStyle w:val="Style_1"/>
        <w:ind/>
        <w:jc w:val="both"/>
        <w:rPr>
          <w:rFonts w:ascii="Calibri" w:hAnsi="Calibri"/>
          <w:sz w:val="32"/>
        </w:rPr>
      </w:pPr>
      <w:r>
        <w:rPr>
          <w:rFonts w:ascii="Calibri" w:hAnsi="Calibri"/>
          <w:b w:val="1"/>
          <w:sz w:val="32"/>
        </w:rPr>
        <w:t xml:space="preserve">Подать заявление на изменение в лицевом </w:t>
      </w:r>
      <w:r>
        <w:rPr>
          <w:rFonts w:ascii="Calibri" w:hAnsi="Calibri"/>
          <w:b w:val="1"/>
          <w:sz w:val="32"/>
        </w:rPr>
        <w:t>счете</w:t>
      </w:r>
      <w:r>
        <w:rPr>
          <w:rFonts w:ascii="Calibri" w:hAnsi="Calibri"/>
          <w:b w:val="1"/>
          <w:sz w:val="32"/>
        </w:rPr>
        <w:t xml:space="preserve"> количества проживающих</w:t>
      </w:r>
      <w:r>
        <w:rPr>
          <w:rFonts w:ascii="Calibri" w:hAnsi="Calibri"/>
          <w:sz w:val="32"/>
        </w:rPr>
        <w:t xml:space="preserve"> можно в отделения МФЦ Алтайского края</w:t>
      </w:r>
      <w:r>
        <w:rPr>
          <w:rFonts w:ascii="Calibri" w:hAnsi="Calibri"/>
          <w:sz w:val="32"/>
        </w:rPr>
        <w:t xml:space="preserve"> по месту подачи документов на выписку/прописку</w:t>
      </w:r>
      <w:r>
        <w:rPr>
          <w:rFonts w:ascii="Calibri" w:hAnsi="Calibri"/>
          <w:sz w:val="32"/>
        </w:rPr>
        <w:t>;</w:t>
      </w:r>
    </w:p>
    <w:p w14:paraId="06000000">
      <w:pPr>
        <w:pStyle w:val="Style_1"/>
        <w:ind/>
        <w:jc w:val="both"/>
        <w:rPr>
          <w:rFonts w:ascii="Calibri" w:hAnsi="Calibri"/>
          <w:sz w:val="32"/>
        </w:rPr>
      </w:pPr>
      <w:r>
        <w:rPr>
          <w:rFonts w:ascii="Calibri" w:hAnsi="Calibri"/>
          <w:b w:val="1"/>
          <w:sz w:val="32"/>
        </w:rPr>
        <w:t>Оформить льготы или субсидии на оплату коммунальных услуг</w:t>
      </w:r>
      <w:r>
        <w:rPr>
          <w:rFonts w:ascii="Calibri" w:hAnsi="Calibri"/>
          <w:sz w:val="32"/>
        </w:rPr>
        <w:t xml:space="preserve"> можно в отделениях МФЦ по месту жительства, при эт</w:t>
      </w:r>
      <w:r>
        <w:rPr>
          <w:rFonts w:ascii="Calibri" w:hAnsi="Calibri"/>
          <w:sz w:val="32"/>
        </w:rPr>
        <w:t>ом выписку из лицевого счета ООО «</w:t>
      </w:r>
      <w:r>
        <w:rPr>
          <w:rFonts w:ascii="Calibri" w:hAnsi="Calibri"/>
          <w:sz w:val="32"/>
        </w:rPr>
        <w:t>ТКО-Сервис</w:t>
      </w:r>
      <w:r>
        <w:rPr>
          <w:rFonts w:ascii="Calibri" w:hAnsi="Calibri"/>
          <w:sz w:val="32"/>
        </w:rPr>
        <w:t>» предоставлять не нужно, она сформируется в МФЦ автоматически;</w:t>
      </w:r>
    </w:p>
    <w:p w14:paraId="07000000">
      <w:pPr>
        <w:pStyle w:val="Style_1"/>
        <w:ind/>
        <w:jc w:val="both"/>
        <w:rPr>
          <w:rFonts w:ascii="Calibri" w:hAnsi="Calibri"/>
          <w:b w:val="1"/>
          <w:sz w:val="32"/>
        </w:rPr>
      </w:pPr>
      <w:r>
        <w:rPr>
          <w:rFonts w:ascii="Calibri" w:hAnsi="Calibri"/>
          <w:b w:val="1"/>
          <w:sz w:val="32"/>
        </w:rPr>
        <w:t>Оплачивать коммунальные услуги необходимо до 10-го числа следующего месяца</w:t>
      </w:r>
      <w:r>
        <w:rPr>
          <w:rFonts w:ascii="Calibri" w:hAnsi="Calibri"/>
          <w:sz w:val="32"/>
        </w:rPr>
        <w:t xml:space="preserve"> в личном </w:t>
      </w:r>
      <w:r>
        <w:rPr>
          <w:rFonts w:ascii="Calibri" w:hAnsi="Calibri"/>
          <w:sz w:val="32"/>
        </w:rPr>
        <w:t>кабинете</w:t>
      </w:r>
      <w:r>
        <w:rPr>
          <w:rFonts w:ascii="Calibri" w:hAnsi="Calibri"/>
          <w:sz w:val="32"/>
        </w:rPr>
        <w:t xml:space="preserve"> Системы «Город» либо в любом банке или отделении Почты России (предъявление квитанции не требуется, достаточно назвать адрес).</w:t>
      </w:r>
    </w:p>
    <w:p w14:paraId="08000000">
      <w:pPr>
        <w:pStyle w:val="Style_1"/>
        <w:ind/>
        <w:jc w:val="both"/>
        <w:rPr>
          <w:rFonts w:ascii="Calibri" w:hAnsi="Calibri"/>
          <w:sz w:val="28"/>
        </w:rPr>
      </w:pPr>
      <w:r>
        <w:rPr>
          <w:rFonts w:ascii="Calibri" w:hAnsi="Calibri"/>
          <w:sz w:val="28"/>
        </w:rPr>
        <w:t>За несвоевременную оплату начисляется пеня. Закрытие лицевого счета производится только при отсутствии задолженности, в том числе и по пене.</w:t>
      </w:r>
    </w:p>
    <w:p w14:paraId="09000000">
      <w:pPr>
        <w:pStyle w:val="Style_1"/>
        <w:ind/>
        <w:jc w:val="both"/>
        <w:rPr>
          <w:rFonts w:ascii="Calibri" w:hAnsi="Calibri"/>
          <w:b w:val="1"/>
          <w:sz w:val="28"/>
        </w:rPr>
      </w:pPr>
      <w:r>
        <w:rPr>
          <w:rFonts w:ascii="Calibri" w:hAnsi="Calibri"/>
          <w:b w:val="1"/>
          <w:sz w:val="28"/>
        </w:rPr>
        <w:t>Чтобы Ваши безналичные платежи не потерялись и пришли своевременно, пользуйтесь только личным кабинетом «Системы «Город» Алтайского края.</w:t>
      </w:r>
    </w:p>
    <w:p w14:paraId="0A000000">
      <w:pPr>
        <w:pStyle w:val="Style_1"/>
        <w:ind/>
        <w:jc w:val="both"/>
        <w:rPr>
          <w:rFonts w:ascii="Calibri" w:hAnsi="Calibri"/>
          <w:sz w:val="28"/>
        </w:rPr>
      </w:pPr>
      <w:r>
        <w:rPr>
          <w:rFonts w:ascii="Calibri" w:hAnsi="Calibri"/>
          <w:sz w:val="28"/>
        </w:rPr>
        <w:t xml:space="preserve">Скачайте бесплатно мобильное приложение в </w:t>
      </w:r>
      <w:r>
        <w:rPr>
          <w:rFonts w:ascii="Calibri" w:hAnsi="Calibri"/>
          <w:sz w:val="28"/>
        </w:rPr>
        <w:fldChar w:fldCharType="begin"/>
      </w:r>
      <w:r>
        <w:rPr>
          <w:rFonts w:ascii="Calibri" w:hAnsi="Calibri"/>
          <w:sz w:val="28"/>
        </w:rPr>
        <w:instrText>HYPERLINK "https://play.google.com/store/apps/details?id=com.gorodok.mobile&amp;hl=ru&amp;gl=US"</w:instrText>
      </w:r>
      <w:r>
        <w:rPr>
          <w:rFonts w:ascii="Calibri" w:hAnsi="Calibri"/>
          <w:sz w:val="28"/>
        </w:rPr>
        <w:fldChar w:fldCharType="separate"/>
      </w:r>
      <w:r>
        <w:rPr>
          <w:rFonts w:ascii="Calibri" w:hAnsi="Calibri"/>
          <w:sz w:val="28"/>
        </w:rPr>
        <w:t>Google Play</w:t>
      </w:r>
      <w:r>
        <w:rPr>
          <w:rFonts w:ascii="Calibri" w:hAnsi="Calibri"/>
          <w:sz w:val="28"/>
        </w:rPr>
        <w:fldChar w:fldCharType="end"/>
      </w:r>
      <w:r>
        <w:rPr>
          <w:rFonts w:ascii="Calibri" w:hAnsi="Calibri"/>
          <w:sz w:val="28"/>
        </w:rPr>
        <w:t xml:space="preserve">, </w:t>
      </w:r>
      <w:r>
        <w:rPr>
          <w:rFonts w:ascii="Calibri" w:hAnsi="Calibri"/>
          <w:sz w:val="28"/>
        </w:rPr>
        <w:fldChar w:fldCharType="begin"/>
      </w:r>
      <w:r>
        <w:rPr>
          <w:rFonts w:ascii="Calibri" w:hAnsi="Calibri"/>
          <w:sz w:val="28"/>
        </w:rPr>
        <w:instrText>HYPERLINK "https://apps.apple.com/ru/app/%D1%81%D0%B8%D1%81%D1%82%D0%B5%D0%BC%D0%B0-%D0%B3%D0%BE%D1%80%D0%BE%D0%B4-%D0%B0%D0%BB%D1%82%D0%B0%D0%B9%D1%81%D0%BA%D0%B8%D0%B9-%D0%BA%D1%80%D0%B0%D0%B9/id1077226959"</w:instrText>
      </w:r>
      <w:r>
        <w:rPr>
          <w:rFonts w:ascii="Calibri" w:hAnsi="Calibri"/>
          <w:sz w:val="28"/>
        </w:rPr>
        <w:fldChar w:fldCharType="separate"/>
      </w:r>
      <w:r>
        <w:rPr>
          <w:rFonts w:ascii="Calibri" w:hAnsi="Calibri"/>
          <w:sz w:val="28"/>
        </w:rPr>
        <w:t>App Store</w:t>
      </w:r>
      <w:r>
        <w:rPr>
          <w:rFonts w:ascii="Calibri" w:hAnsi="Calibri"/>
          <w:sz w:val="28"/>
        </w:rPr>
        <w:fldChar w:fldCharType="end"/>
      </w:r>
      <w:r>
        <w:rPr>
          <w:rFonts w:ascii="Calibri" w:hAnsi="Calibri"/>
          <w:sz w:val="28"/>
        </w:rPr>
        <w:t xml:space="preserve">, </w:t>
      </w:r>
      <w:r>
        <w:rPr>
          <w:rFonts w:ascii="Calibri" w:hAnsi="Calibri"/>
          <w:sz w:val="28"/>
        </w:rPr>
        <w:fldChar w:fldCharType="begin"/>
      </w:r>
      <w:r>
        <w:rPr>
          <w:rFonts w:ascii="Calibri" w:hAnsi="Calibri"/>
          <w:sz w:val="28"/>
        </w:rPr>
        <w:instrText>HYPERLINK "https://appgallery.huawei.com/app/C103235685?sharePrepath=ag&amp;channelId=lk&amp;id=423bc03b08b8470cbbb7fccaa21deeea&amp;s=C1DFCFA6350B0D387D070680543D0E697FA51E13BA4808E027B9C1E3A2C7FE2C&amp;detailType=0&amp;v=&amp;callType=AGDLINK&amp;installType=0000"</w:instrText>
      </w:r>
      <w:r>
        <w:rPr>
          <w:rFonts w:ascii="Calibri" w:hAnsi="Calibri"/>
          <w:sz w:val="28"/>
        </w:rPr>
        <w:fldChar w:fldCharType="separate"/>
      </w:r>
      <w:r>
        <w:rPr>
          <w:rFonts w:ascii="Calibri" w:hAnsi="Calibri"/>
          <w:sz w:val="28"/>
        </w:rPr>
        <w:t>AppGallery</w:t>
      </w:r>
      <w:r>
        <w:rPr>
          <w:rFonts w:ascii="Calibri" w:hAnsi="Calibri"/>
          <w:sz w:val="28"/>
        </w:rPr>
        <w:fldChar w:fldCharType="end"/>
      </w:r>
      <w:r>
        <w:rPr>
          <w:rFonts w:ascii="Calibri" w:hAnsi="Calibri"/>
          <w:sz w:val="28"/>
        </w:rPr>
        <w:t xml:space="preserve"> или зарегистрируйтесь на сайте Системы </w:t>
      </w:r>
      <w:r>
        <w:rPr>
          <w:rFonts w:ascii="Calibri" w:hAnsi="Calibri"/>
          <w:sz w:val="28"/>
        </w:rPr>
        <w:t>«</w:t>
      </w:r>
      <w:r>
        <w:rPr>
          <w:rFonts w:ascii="Calibri" w:hAnsi="Calibri"/>
          <w:sz w:val="28"/>
        </w:rPr>
        <w:t>Город</w:t>
      </w:r>
      <w:r>
        <w:rPr>
          <w:rFonts w:ascii="Calibri" w:hAnsi="Calibri"/>
          <w:sz w:val="28"/>
        </w:rPr>
        <w:t>»</w:t>
      </w:r>
      <w:r>
        <w:rPr>
          <w:rFonts w:ascii="Calibri" w:hAnsi="Calibri"/>
          <w:sz w:val="28"/>
        </w:rPr>
        <w:t>. По вопросам работы личного кабинета можно обратиться по телефону</w:t>
      </w:r>
      <w:r>
        <w:rPr>
          <w:rFonts w:ascii="Calibri" w:hAnsi="Calibri"/>
          <w:sz w:val="28"/>
        </w:rPr>
        <w:t xml:space="preserve"> 8 (3852)</w:t>
      </w:r>
      <w:r>
        <w:rPr>
          <w:rFonts w:ascii="Calibri" w:hAnsi="Calibri"/>
          <w:sz w:val="28"/>
        </w:rPr>
        <w:t xml:space="preserve"> 20-28-20.</w:t>
      </w:r>
    </w:p>
    <w:p w14:paraId="0B000000">
      <w:pPr>
        <w:pStyle w:val="Style_1"/>
        <w:ind/>
        <w:jc w:val="both"/>
        <w:rPr>
          <w:rFonts w:ascii="Calibri" w:hAnsi="Calibri"/>
          <w:sz w:val="28"/>
        </w:rPr>
      </w:pPr>
      <w:r>
        <w:rPr>
          <w:rFonts w:ascii="Calibri" w:hAnsi="Calibri"/>
          <w:b w:val="1"/>
          <w:sz w:val="28"/>
        </w:rPr>
        <w:t>Изменить способ получения квитанции</w:t>
      </w:r>
      <w:r>
        <w:rPr>
          <w:rFonts w:ascii="Calibri" w:hAnsi="Calibri"/>
          <w:sz w:val="28"/>
        </w:rPr>
        <w:t xml:space="preserve"> </w:t>
      </w:r>
      <w:r>
        <w:rPr>
          <w:rFonts w:ascii="Calibri" w:hAnsi="Calibri"/>
          <w:b w:val="1"/>
          <w:sz w:val="28"/>
        </w:rPr>
        <w:t>на электронный вариант</w:t>
      </w:r>
      <w:r>
        <w:rPr>
          <w:rFonts w:ascii="Calibri" w:hAnsi="Calibri"/>
          <w:sz w:val="28"/>
        </w:rPr>
        <w:t xml:space="preserve"> </w:t>
      </w:r>
      <w:r>
        <w:rPr>
          <w:rFonts w:ascii="Calibri" w:hAnsi="Calibri"/>
          <w:sz w:val="28"/>
        </w:rPr>
        <w:t>можно в личном кабинете Системы «Город», активировав услугу «Получать квитанцию по электронной почте». Электронная квитанция не потеряется и придет своевременно.</w:t>
      </w:r>
    </w:p>
    <w:p w14:paraId="0C000000">
      <w:pPr>
        <w:pStyle w:val="Style_1"/>
        <w:ind/>
        <w:jc w:val="both"/>
        <w:rPr>
          <w:rFonts w:ascii="Calibri" w:hAnsi="Calibri"/>
          <w:sz w:val="28"/>
        </w:rPr>
      </w:pPr>
    </w:p>
    <w:p w14:paraId="0D000000">
      <w:pPr>
        <w:pStyle w:val="Style_1"/>
        <w:ind/>
        <w:jc w:val="center"/>
        <w:rPr>
          <w:rFonts w:ascii="Calibri" w:hAnsi="Calibri"/>
          <w:sz w:val="28"/>
        </w:rPr>
      </w:pPr>
      <w:r>
        <w:rPr>
          <w:rFonts w:ascii="Calibri" w:hAnsi="Calibri"/>
          <w:sz w:val="28"/>
        </w:rPr>
        <w:drawing>
          <wp:inline>
            <wp:extent cx="4741200" cy="2114550"/>
            <wp:effectExtent b="0" l="0" r="0" t="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rcRect b="0" l="0" r="0" t="0"/>
                    <a:stretch/>
                  </pic:blipFill>
                  <pic:spPr>
                    <a:xfrm flipH="false" flipV="false" rot="0">
                      <a:ext cx="4741200" cy="211455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E000000">
      <w:pPr>
        <w:pStyle w:val="Style_1"/>
        <w:ind/>
        <w:jc w:val="center"/>
        <w:rPr>
          <w:rFonts w:ascii="Calibri" w:hAnsi="Calibri"/>
          <w:sz w:val="28"/>
        </w:rPr>
      </w:pPr>
    </w:p>
    <w:p w14:paraId="0F000000">
      <w:pPr>
        <w:pStyle w:val="Style_1"/>
        <w:ind/>
        <w:jc w:val="center"/>
        <w:rPr>
          <w:rFonts w:ascii="Calibri" w:hAnsi="Calibri"/>
          <w:sz w:val="28"/>
        </w:rPr>
      </w:pPr>
    </w:p>
    <w:p w14:paraId="10000000">
      <w:pPr>
        <w:pStyle w:val="Style_1"/>
        <w:ind/>
        <w:jc w:val="both"/>
        <w:rPr>
          <w:rFonts w:ascii="Calibri" w:hAnsi="Calibri"/>
          <w:b w:val="1"/>
          <w:sz w:val="32"/>
        </w:rPr>
      </w:pPr>
      <w:r>
        <w:rPr>
          <w:rFonts w:ascii="Calibri" w:hAnsi="Calibri"/>
          <w:b w:val="1"/>
          <w:sz w:val="32"/>
        </w:rPr>
        <w:t>Если</w:t>
      </w:r>
      <w:r>
        <w:rPr>
          <w:rFonts w:ascii="Calibri" w:hAnsi="Calibri"/>
          <w:b w:val="1"/>
          <w:sz w:val="32"/>
        </w:rPr>
        <w:t xml:space="preserve"> в лицевом счете по вашему адресу не верно указанно количество проживающих или фамилия собственника обратитесь в ООО «ТКО-Сервис» по тел. 8(929)346-85-16.</w:t>
      </w:r>
    </w:p>
    <w:sectPr>
      <w:pgSz w:h="16838" w:orient="portrait" w:w="11906"/>
      <w:pgMar w:bottom="0" w:footer="708" w:gutter="0" w:header="708" w:left="567" w:right="426" w:top="142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160" w:before="0" w:line="264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</w:style>
  <w:style w:default="1" w:styleId="Style_2_ch" w:type="character">
    <w:name w:val="Normal"/>
    <w:link w:val="Style_2"/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Endnote"/>
    <w:link w:val="Style_7_ch"/>
    <w:pPr>
      <w:ind w:firstLine="851" w:left="0"/>
      <w:jc w:val="both"/>
    </w:pPr>
    <w:rPr>
      <w:rFonts w:ascii="XO Thames" w:hAnsi="XO Thames"/>
      <w:sz w:val="22"/>
    </w:rPr>
  </w:style>
  <w:style w:styleId="Style_7_ch" w:type="character">
    <w:name w:val="Endnote"/>
    <w:link w:val="Style_7"/>
    <w:rPr>
      <w:rFonts w:ascii="XO Thames" w:hAnsi="XO Thames"/>
      <w:sz w:val="22"/>
    </w:rPr>
  </w:style>
  <w:style w:styleId="Style_8" w:type="paragraph">
    <w:name w:val="heading 3"/>
    <w:next w:val="Style_2"/>
    <w:link w:val="Style_8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8_ch" w:type="character">
    <w:name w:val="heading 3"/>
    <w:link w:val="Style_8"/>
    <w:rPr>
      <w:rFonts w:ascii="XO Thames" w:hAnsi="XO Thames"/>
      <w:b w:val="1"/>
      <w:sz w:val="26"/>
    </w:rPr>
  </w:style>
  <w:style w:styleId="Style_9" w:type="paragraph">
    <w:name w:val="Balloon Text"/>
    <w:basedOn w:val="Style_2"/>
    <w:link w:val="Style_9_ch"/>
    <w:pPr>
      <w:spacing w:after="0" w:line="240" w:lineRule="auto"/>
      <w:ind/>
    </w:pPr>
    <w:rPr>
      <w:rFonts w:ascii="Segoe UI" w:hAnsi="Segoe UI"/>
      <w:sz w:val="18"/>
    </w:rPr>
  </w:style>
  <w:style w:styleId="Style_9_ch" w:type="character">
    <w:name w:val="Balloon Text"/>
    <w:basedOn w:val="Style_2_ch"/>
    <w:link w:val="Style_9"/>
    <w:rPr>
      <w:rFonts w:ascii="Segoe UI" w:hAnsi="Segoe UI"/>
      <w:sz w:val="18"/>
    </w:rPr>
  </w:style>
  <w:style w:styleId="Style_10" w:type="paragraph">
    <w:name w:val="toc 3"/>
    <w:next w:val="Style_2"/>
    <w:link w:val="Style_10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0_ch" w:type="character">
    <w:name w:val="toc 3"/>
    <w:link w:val="Style_10"/>
    <w:rPr>
      <w:rFonts w:ascii="XO Thames" w:hAnsi="XO Thames"/>
      <w:sz w:val="28"/>
    </w:rPr>
  </w:style>
  <w:style w:styleId="Style_11" w:type="paragraph">
    <w:name w:val="heading 5"/>
    <w:next w:val="Style_2"/>
    <w:link w:val="Style_11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1_ch" w:type="character">
    <w:name w:val="heading 5"/>
    <w:link w:val="Style_11"/>
    <w:rPr>
      <w:rFonts w:ascii="XO Thames" w:hAnsi="XO Thames"/>
      <w:b w:val="1"/>
      <w:sz w:val="22"/>
    </w:rPr>
  </w:style>
  <w:style w:styleId="Style_12" w:type="paragraph">
    <w:name w:val="List Paragraph"/>
    <w:basedOn w:val="Style_2"/>
    <w:link w:val="Style_12_ch"/>
    <w:pPr>
      <w:ind w:firstLine="0" w:left="720"/>
      <w:contextualSpacing w:val="1"/>
    </w:pPr>
  </w:style>
  <w:style w:styleId="Style_12_ch" w:type="character">
    <w:name w:val="List Paragraph"/>
    <w:basedOn w:val="Style_2_ch"/>
    <w:link w:val="Style_12"/>
  </w:style>
  <w:style w:styleId="Style_13" w:type="paragraph">
    <w:name w:val="heading 1"/>
    <w:next w:val="Style_2"/>
    <w:link w:val="Style_13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3_ch" w:type="character">
    <w:name w:val="heading 1"/>
    <w:link w:val="Style_13"/>
    <w:rPr>
      <w:rFonts w:ascii="XO Thames" w:hAnsi="XO Thames"/>
      <w:b w:val="1"/>
      <w:sz w:val="32"/>
    </w:rPr>
  </w:style>
  <w:style w:styleId="Style_14" w:type="paragraph">
    <w:name w:val="Hyperlink"/>
    <w:basedOn w:val="Style_15"/>
    <w:link w:val="Style_14_ch"/>
    <w:rPr>
      <w:color w:themeColor="hyperlink" w:val="0563C1"/>
      <w:u w:val="single"/>
    </w:rPr>
  </w:style>
  <w:style w:styleId="Style_14_ch" w:type="character">
    <w:name w:val="Hyperlink"/>
    <w:basedOn w:val="Style_15_ch"/>
    <w:link w:val="Style_14"/>
    <w:rPr>
      <w:color w:themeColor="hyperlink" w:val="0563C1"/>
      <w:u w:val="single"/>
    </w:rPr>
  </w:style>
  <w:style w:styleId="Style_16" w:type="paragraph">
    <w:name w:val="Footnote"/>
    <w:link w:val="Style_16_ch"/>
    <w:pPr>
      <w:ind w:firstLine="851" w:left="0"/>
      <w:jc w:val="both"/>
    </w:pPr>
    <w:rPr>
      <w:rFonts w:ascii="XO Thames" w:hAnsi="XO Thames"/>
      <w:sz w:val="22"/>
    </w:rPr>
  </w:style>
  <w:style w:styleId="Style_16_ch" w:type="character">
    <w:name w:val="Footnote"/>
    <w:link w:val="Style_16"/>
    <w:rPr>
      <w:rFonts w:ascii="XO Thames" w:hAnsi="XO Thames"/>
      <w:sz w:val="22"/>
    </w:rPr>
  </w:style>
  <w:style w:styleId="Style_17" w:type="paragraph">
    <w:name w:val="toc 1"/>
    <w:next w:val="Style_2"/>
    <w:link w:val="Style_17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7_ch" w:type="character">
    <w:name w:val="toc 1"/>
    <w:link w:val="Style_17"/>
    <w:rPr>
      <w:rFonts w:ascii="XO Thames" w:hAnsi="XO Thames"/>
      <w:b w:val="1"/>
      <w:sz w:val="28"/>
    </w:rPr>
  </w:style>
  <w:style w:styleId="Style_18" w:type="paragraph">
    <w:name w:val="Header and Footer"/>
    <w:link w:val="Style_18_ch"/>
    <w:pPr>
      <w:spacing w:line="240" w:lineRule="auto"/>
      <w:ind/>
      <w:jc w:val="both"/>
    </w:pPr>
    <w:rPr>
      <w:rFonts w:ascii="XO Thames" w:hAnsi="XO Thames"/>
      <w:sz w:val="28"/>
    </w:rPr>
  </w:style>
  <w:style w:styleId="Style_18_ch" w:type="character">
    <w:name w:val="Header and Footer"/>
    <w:link w:val="Style_18"/>
    <w:rPr>
      <w:rFonts w:ascii="XO Thames" w:hAnsi="XO Thames"/>
      <w:sz w:val="28"/>
    </w:rPr>
  </w:style>
  <w:style w:styleId="Style_15" w:type="paragraph">
    <w:name w:val="Default Paragraph Font"/>
    <w:link w:val="Style_15_ch"/>
  </w:style>
  <w:style w:styleId="Style_15_ch" w:type="character">
    <w:name w:val="Default Paragraph Font"/>
    <w:link w:val="Style_15"/>
  </w:style>
  <w:style w:styleId="Style_19" w:type="paragraph">
    <w:name w:val="toc 9"/>
    <w:next w:val="Style_2"/>
    <w:link w:val="Style_19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9_ch" w:type="character">
    <w:name w:val="toc 9"/>
    <w:link w:val="Style_19"/>
    <w:rPr>
      <w:rFonts w:ascii="XO Thames" w:hAnsi="XO Thames"/>
      <w:sz w:val="28"/>
    </w:rPr>
  </w:style>
  <w:style w:styleId="Style_20" w:type="paragraph">
    <w:name w:val="toc 8"/>
    <w:next w:val="Style_2"/>
    <w:link w:val="Style_20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0_ch" w:type="character">
    <w:name w:val="toc 8"/>
    <w:link w:val="Style_20"/>
    <w:rPr>
      <w:rFonts w:ascii="XO Thames" w:hAnsi="XO Thames"/>
      <w:sz w:val="28"/>
    </w:rPr>
  </w:style>
  <w:style w:styleId="Style_1" w:type="paragraph">
    <w:name w:val="No Spacing"/>
    <w:link w:val="Style_1_ch"/>
    <w:pPr>
      <w:spacing w:after="0" w:line="240" w:lineRule="auto"/>
      <w:ind/>
    </w:pPr>
  </w:style>
  <w:style w:styleId="Style_1_ch" w:type="character">
    <w:name w:val="No Spacing"/>
    <w:link w:val="Style_1"/>
  </w:style>
  <w:style w:styleId="Style_21" w:type="paragraph">
    <w:name w:val="toc 5"/>
    <w:next w:val="Style_2"/>
    <w:link w:val="Style_21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1_ch" w:type="character">
    <w:name w:val="toc 5"/>
    <w:link w:val="Style_21"/>
    <w:rPr>
      <w:rFonts w:ascii="XO Thames" w:hAnsi="XO Thames"/>
      <w:sz w:val="28"/>
    </w:rPr>
  </w:style>
  <w:style w:styleId="Style_22" w:type="paragraph">
    <w:name w:val="Subtitle"/>
    <w:next w:val="Style_2"/>
    <w:link w:val="Style_22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2_ch" w:type="character">
    <w:name w:val="Subtitle"/>
    <w:link w:val="Style_22"/>
    <w:rPr>
      <w:rFonts w:ascii="XO Thames" w:hAnsi="XO Thames"/>
      <w:i w:val="1"/>
      <w:sz w:val="24"/>
    </w:rPr>
  </w:style>
  <w:style w:styleId="Style_23" w:type="paragraph">
    <w:name w:val="Title"/>
    <w:next w:val="Style_2"/>
    <w:link w:val="Style_23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3_ch" w:type="character">
    <w:name w:val="Title"/>
    <w:link w:val="Style_23"/>
    <w:rPr>
      <w:rFonts w:ascii="XO Thames" w:hAnsi="XO Thames"/>
      <w:b w:val="1"/>
      <w:caps w:val="1"/>
      <w:sz w:val="40"/>
    </w:rPr>
  </w:style>
  <w:style w:styleId="Style_24" w:type="paragraph">
    <w:name w:val="heading 4"/>
    <w:next w:val="Style_2"/>
    <w:link w:val="Style_24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4_ch" w:type="character">
    <w:name w:val="heading 4"/>
    <w:link w:val="Style_24"/>
    <w:rPr>
      <w:rFonts w:ascii="XO Thames" w:hAnsi="XO Thames"/>
      <w:b w:val="1"/>
      <w:sz w:val="24"/>
    </w:rPr>
  </w:style>
  <w:style w:styleId="Style_25" w:type="paragraph">
    <w:name w:val="heading 2"/>
    <w:next w:val="Style_2"/>
    <w:link w:val="Style_25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5_ch" w:type="character">
    <w:name w:val="heading 2"/>
    <w:link w:val="Style_25"/>
    <w:rPr>
      <w:rFonts w:ascii="XO Thames" w:hAnsi="XO Thames"/>
      <w:b w:val="1"/>
      <w:sz w:val="28"/>
    </w:rPr>
  </w:style>
  <w:style w:styleId="Style_26" w:type="table">
    <w:name w:val="Table Grid"/>
    <w:basedOn w:val="Style_27"/>
    <w:pPr>
      <w:spacing w:after="0" w:line="240" w:lineRule="auto"/>
      <w:ind/>
    </w:pPr>
    <w:tblPr>
      <w:tblInd w:type="dxa" w:w="0"/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  <w:tblCellMar>
        <w:top w:type="dxa" w:w="0"/>
        <w:left w:type="dxa" w:w="108"/>
        <w:bottom w:type="dxa" w:w="0"/>
        <w:right w:type="dxa" w:w="108"/>
      </w:tblCellMar>
    </w:tblPr>
  </w:style>
  <w:style w:default="1" w:styleId="Style_27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webSettings.xml" Type="http://schemas.openxmlformats.org/officeDocument/2006/relationships/webSettings"/>
  <Relationship Id="rId1" Target="media/1.jpeg" Type="http://schemas.openxmlformats.org/officeDocument/2006/relationships/image"/>
  <Relationship Id="rId2" Target="fontTable.xml" Type="http://schemas.openxmlformats.org/officeDocument/2006/relationships/fontTable"/>
  <Relationship Id="rId3" Target="settings.xml" Type="http://schemas.openxmlformats.org/officeDocument/2006/relationships/settings"/>
  <Relationship Id="rId4" Target="styles.xml" Type="http://schemas.openxmlformats.org/officeDocument/2006/relationships/styles"/>
  <Relationship Id="rId7" Target="theme/theme1.xml" Type="http://schemas.openxmlformats.org/officeDocument/2006/relationships/theme"/>
  <Relationship Id="rId5" Target="stylesWithEffects.xml" Type="http://schemas.microsoft.com/office/2007/relationships/stylesWithEffect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MyOffice-CoreFramework-Windows/31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2025-05-22T07:48:55Z</dcterms:modified>
</cp:coreProperties>
</file>